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E5" w:rsidRPr="00B8488C" w:rsidRDefault="00B410E5" w:rsidP="006F3F1A">
      <w:pPr>
        <w:jc w:val="center"/>
        <w:rPr>
          <w:rFonts w:asciiTheme="minorHAnsi" w:hAnsiTheme="minorHAnsi"/>
          <w:b/>
          <w:u w:val="single"/>
        </w:rPr>
      </w:pPr>
      <w:r w:rsidRPr="00B8488C">
        <w:rPr>
          <w:rFonts w:asciiTheme="minorHAnsi" w:hAnsiTheme="minorHAnsi"/>
          <w:b/>
          <w:u w:val="single"/>
        </w:rPr>
        <w:t xml:space="preserve">Upozornění k vyúčtování projektu </w:t>
      </w:r>
      <w:r w:rsidR="009403BA" w:rsidRPr="00B8488C">
        <w:rPr>
          <w:rFonts w:asciiTheme="minorHAnsi" w:hAnsiTheme="minorHAnsi"/>
          <w:b/>
          <w:u w:val="single"/>
        </w:rPr>
        <w:t>FMP CZ-Sasko</w:t>
      </w:r>
    </w:p>
    <w:p w:rsidR="00B410E5" w:rsidRPr="00B8488C" w:rsidRDefault="00B410E5" w:rsidP="00B410E5">
      <w:pPr>
        <w:rPr>
          <w:rFonts w:asciiTheme="minorHAnsi" w:hAnsiTheme="minorHAnsi"/>
        </w:rPr>
      </w:pPr>
    </w:p>
    <w:p w:rsidR="00B410E5" w:rsidRPr="00B8488C" w:rsidRDefault="00B410E5" w:rsidP="00B410E5">
      <w:p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Účetnictví projektu a formální náležitosti vyúčtování</w:t>
      </w:r>
      <w:r w:rsidR="003D12FF">
        <w:rPr>
          <w:rFonts w:asciiTheme="minorHAnsi" w:hAnsiTheme="minorHAnsi"/>
        </w:rPr>
        <w:t>:</w:t>
      </w:r>
    </w:p>
    <w:p w:rsidR="00B410E5" w:rsidRPr="0086465B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P</w:t>
      </w:r>
      <w:r w:rsidR="006F3F1A">
        <w:rPr>
          <w:rFonts w:asciiTheme="minorHAnsi" w:hAnsiTheme="minorHAnsi"/>
        </w:rPr>
        <w:t>ro p</w:t>
      </w:r>
      <w:r w:rsidRPr="00B8488C">
        <w:rPr>
          <w:rFonts w:asciiTheme="minorHAnsi" w:hAnsiTheme="minorHAnsi"/>
        </w:rPr>
        <w:t xml:space="preserve">rojekt </w:t>
      </w:r>
      <w:r w:rsidR="006F3F1A">
        <w:rPr>
          <w:rFonts w:asciiTheme="minorHAnsi" w:hAnsiTheme="minorHAnsi"/>
        </w:rPr>
        <w:t>je nutné</w:t>
      </w:r>
      <w:r w:rsidRPr="00B8488C">
        <w:rPr>
          <w:rFonts w:asciiTheme="minorHAnsi" w:hAnsiTheme="minorHAnsi"/>
        </w:rPr>
        <w:t xml:space="preserve"> vést </w:t>
      </w:r>
      <w:r w:rsidRPr="0086465B">
        <w:rPr>
          <w:rFonts w:asciiTheme="minorHAnsi" w:hAnsiTheme="minorHAnsi"/>
          <w:b/>
        </w:rPr>
        <w:t>oddělené účetnictví</w:t>
      </w:r>
      <w:r w:rsidR="0086465B" w:rsidRPr="0086465B">
        <w:rPr>
          <w:rFonts w:asciiTheme="minorHAnsi" w:hAnsiTheme="minorHAnsi"/>
        </w:rPr>
        <w:t xml:space="preserve"> (oddělené účetní středisko pro projekt)</w:t>
      </w:r>
    </w:p>
    <w:p w:rsidR="009403BA" w:rsidRPr="006F3F1A" w:rsidRDefault="00B410E5" w:rsidP="0086465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Na veškerých dokladech</w:t>
      </w:r>
      <w:r w:rsidR="006F3F1A">
        <w:rPr>
          <w:rFonts w:asciiTheme="minorHAnsi" w:hAnsiTheme="minorHAnsi"/>
        </w:rPr>
        <w:t xml:space="preserve"> (objednávky, faktury, smlouvy apod.</w:t>
      </w:r>
      <w:r w:rsidRPr="00B8488C">
        <w:rPr>
          <w:rFonts w:asciiTheme="minorHAnsi" w:hAnsiTheme="minorHAnsi"/>
        </w:rPr>
        <w:t xml:space="preserve">) musí být vždy jako odběratel uveden výhradně </w:t>
      </w:r>
      <w:r w:rsidRPr="0086465B">
        <w:rPr>
          <w:rFonts w:asciiTheme="minorHAnsi" w:hAnsiTheme="minorHAnsi"/>
          <w:b/>
        </w:rPr>
        <w:t>žadatel</w:t>
      </w:r>
      <w:r w:rsidRPr="00B8488C">
        <w:rPr>
          <w:rFonts w:asciiTheme="minorHAnsi" w:hAnsiTheme="minorHAnsi"/>
        </w:rPr>
        <w:t xml:space="preserve"> a jeho adresa </w:t>
      </w:r>
      <w:r w:rsidRPr="00B8488C">
        <w:rPr>
          <w:rFonts w:asciiTheme="minorHAnsi" w:hAnsiTheme="minorHAnsi"/>
          <w:u w:val="single"/>
        </w:rPr>
        <w:t xml:space="preserve">přesně podle projektové žádosti </w:t>
      </w:r>
      <w:r w:rsidRPr="00B8488C">
        <w:rPr>
          <w:rFonts w:asciiTheme="minorHAnsi" w:hAnsiTheme="minorHAnsi"/>
        </w:rPr>
        <w:t>(</w:t>
      </w:r>
      <w:r w:rsidRPr="00B8488C">
        <w:rPr>
          <w:rFonts w:asciiTheme="minorHAnsi" w:hAnsiTheme="minorHAnsi"/>
          <w:sz w:val="22"/>
          <w:szCs w:val="22"/>
        </w:rPr>
        <w:t xml:space="preserve">když je tedy žadatelem např. město, </w:t>
      </w:r>
      <w:r w:rsidRPr="00B8488C">
        <w:rPr>
          <w:rFonts w:asciiTheme="minorHAnsi" w:hAnsiTheme="minorHAnsi"/>
          <w:sz w:val="22"/>
          <w:szCs w:val="22"/>
          <w:u w:val="single"/>
        </w:rPr>
        <w:t>musí</w:t>
      </w:r>
      <w:r w:rsidRPr="00B8488C">
        <w:rPr>
          <w:rFonts w:asciiTheme="minorHAnsi" w:hAnsiTheme="minorHAnsi"/>
          <w:sz w:val="22"/>
          <w:szCs w:val="22"/>
        </w:rPr>
        <w:t xml:space="preserve"> být veškeré doklady vystaveny na město, nikoliv na jednotlivé odbory, organizační složky, zastupitele apod</w:t>
      </w:r>
      <w:r w:rsidR="006F3F1A">
        <w:rPr>
          <w:rFonts w:asciiTheme="minorHAnsi" w:hAnsiTheme="minorHAnsi"/>
          <w:sz w:val="22"/>
          <w:szCs w:val="22"/>
        </w:rPr>
        <w:t>.)</w:t>
      </w:r>
    </w:p>
    <w:p w:rsidR="006F3F1A" w:rsidRPr="00B8488C" w:rsidRDefault="006F3F1A" w:rsidP="0086465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C07BA">
        <w:rPr>
          <w:rFonts w:ascii="Calibri" w:hAnsi="Calibri"/>
        </w:rPr>
        <w:t>Žadatel nesmí vystavit fakturu sám sobě (</w:t>
      </w:r>
      <w:r>
        <w:rPr>
          <w:rFonts w:ascii="Calibri" w:hAnsi="Calibri"/>
        </w:rPr>
        <w:t>např. fakturace mezi jednotlivými</w:t>
      </w:r>
      <w:r w:rsidRPr="00BC07BA">
        <w:rPr>
          <w:rFonts w:ascii="Calibri" w:hAnsi="Calibri"/>
        </w:rPr>
        <w:t xml:space="preserve"> odbory</w:t>
      </w:r>
      <w:r>
        <w:rPr>
          <w:rFonts w:ascii="Calibri" w:hAnsi="Calibri"/>
        </w:rPr>
        <w:t>, středisky, úseky</w:t>
      </w:r>
      <w:r w:rsidRPr="00BC07BA">
        <w:rPr>
          <w:rFonts w:ascii="Calibri" w:hAnsi="Calibri"/>
        </w:rPr>
        <w:t>).</w:t>
      </w:r>
      <w:r>
        <w:rPr>
          <w:rFonts w:ascii="Calibri" w:hAnsi="Calibri"/>
        </w:rPr>
        <w:t xml:space="preserve"> Dodavatel a odběratel jsou odlišné subjekty a vzájemně mají různé IČO, popř. DIČ.</w:t>
      </w:r>
    </w:p>
    <w:p w:rsidR="009F008C" w:rsidRPr="00B8488C" w:rsidRDefault="009F008C" w:rsidP="009F008C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 xml:space="preserve">Při předložení vyúčtování se vždy </w:t>
      </w:r>
      <w:r>
        <w:rPr>
          <w:rFonts w:asciiTheme="minorHAnsi" w:hAnsiTheme="minorHAnsi"/>
        </w:rPr>
        <w:t>doloží</w:t>
      </w:r>
      <w:r w:rsidRPr="00B8488C">
        <w:rPr>
          <w:rFonts w:asciiTheme="minorHAnsi" w:hAnsiTheme="minorHAnsi"/>
        </w:rPr>
        <w:t xml:space="preserve"> </w:t>
      </w:r>
      <w:r w:rsidRPr="0086465B">
        <w:rPr>
          <w:rFonts w:asciiTheme="minorHAnsi" w:hAnsiTheme="minorHAnsi"/>
          <w:b/>
        </w:rPr>
        <w:t>kopie dokladů</w:t>
      </w:r>
      <w:r w:rsidRPr="00B8488C">
        <w:rPr>
          <w:rFonts w:asciiTheme="minorHAnsi" w:hAnsiTheme="minorHAnsi"/>
        </w:rPr>
        <w:t xml:space="preserve"> + </w:t>
      </w:r>
      <w:r w:rsidR="00131BC9">
        <w:rPr>
          <w:rFonts w:asciiTheme="minorHAnsi" w:hAnsiTheme="minorHAnsi"/>
        </w:rPr>
        <w:t xml:space="preserve">1 souhrnné </w:t>
      </w:r>
      <w:r w:rsidRPr="00B8488C">
        <w:rPr>
          <w:rFonts w:asciiTheme="minorHAnsi" w:hAnsiTheme="minorHAnsi"/>
        </w:rPr>
        <w:t>čestné prohlášení o shodnosti kopií s originály v</w:t>
      </w:r>
      <w:r>
        <w:rPr>
          <w:rFonts w:asciiTheme="minorHAnsi" w:hAnsiTheme="minorHAnsi"/>
        </w:rPr>
        <w:t> </w:t>
      </w:r>
      <w:r w:rsidRPr="00B8488C">
        <w:rPr>
          <w:rFonts w:asciiTheme="minorHAnsi" w:hAnsiTheme="minorHAnsi"/>
        </w:rPr>
        <w:t>účetnictví</w:t>
      </w:r>
      <w:r>
        <w:rPr>
          <w:rFonts w:asciiTheme="minorHAnsi" w:hAnsiTheme="minorHAnsi"/>
        </w:rPr>
        <w:t>.</w:t>
      </w:r>
      <w:r w:rsidRPr="00B8488C">
        <w:rPr>
          <w:rFonts w:asciiTheme="minorHAnsi" w:hAnsiTheme="minorHAnsi"/>
        </w:rPr>
        <w:t xml:space="preserve"> </w:t>
      </w:r>
    </w:p>
    <w:p w:rsidR="00B410E5" w:rsidRPr="00B8488C" w:rsidRDefault="009403BA" w:rsidP="009403B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 xml:space="preserve">Na veškerých dokladech musí být uveden </w:t>
      </w:r>
      <w:r w:rsidRPr="0086465B">
        <w:rPr>
          <w:rFonts w:asciiTheme="minorHAnsi" w:hAnsiTheme="minorHAnsi"/>
          <w:b/>
        </w:rPr>
        <w:t>název projektu</w:t>
      </w:r>
      <w:r w:rsidRPr="00B8488C">
        <w:rPr>
          <w:rFonts w:asciiTheme="minorHAnsi" w:hAnsiTheme="minorHAnsi"/>
        </w:rPr>
        <w:t>, případně číslo projektu (podle smlouvy o financování)</w:t>
      </w:r>
      <w:r w:rsidR="009F008C">
        <w:rPr>
          <w:rFonts w:asciiTheme="minorHAnsi" w:hAnsiTheme="minorHAnsi"/>
        </w:rPr>
        <w:t>. Záznam bude vyveden přímo na originále dokladu, nikoliv dodatečně na kopii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8488C">
        <w:rPr>
          <w:rFonts w:asciiTheme="minorHAnsi" w:hAnsiTheme="minorHAnsi"/>
        </w:rPr>
        <w:t xml:space="preserve">K jednotlivým dokladům musí být přiloženy </w:t>
      </w:r>
      <w:r w:rsidRPr="0086465B">
        <w:rPr>
          <w:rFonts w:asciiTheme="minorHAnsi" w:hAnsiTheme="minorHAnsi"/>
          <w:b/>
        </w:rPr>
        <w:t>objednávky</w:t>
      </w:r>
      <w:r w:rsidRPr="00B8488C">
        <w:rPr>
          <w:rFonts w:asciiTheme="minorHAnsi" w:hAnsiTheme="minorHAnsi"/>
        </w:rPr>
        <w:t xml:space="preserve"> s názvem/číslem projektu a doloženo potvrzení o jejich zaplacení </w:t>
      </w:r>
      <w:r w:rsidRPr="00B8488C">
        <w:rPr>
          <w:rFonts w:asciiTheme="minorHAnsi" w:hAnsiTheme="minorHAnsi"/>
          <w:sz w:val="20"/>
          <w:szCs w:val="20"/>
        </w:rPr>
        <w:t>(</w:t>
      </w:r>
      <w:r w:rsidRPr="00B8488C">
        <w:rPr>
          <w:rFonts w:asciiTheme="minorHAnsi" w:hAnsiTheme="minorHAnsi"/>
          <w:sz w:val="22"/>
          <w:szCs w:val="22"/>
        </w:rPr>
        <w:t>např. výpisem z účtu, výpisem z pokladního deníku, výdajovými pokladními doklady</w:t>
      </w:r>
      <w:r w:rsidRPr="00B8488C">
        <w:rPr>
          <w:rFonts w:asciiTheme="minorHAnsi" w:hAnsiTheme="minorHAnsi"/>
          <w:sz w:val="20"/>
          <w:szCs w:val="20"/>
        </w:rPr>
        <w:t>)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8488C">
        <w:rPr>
          <w:rFonts w:asciiTheme="minorHAnsi" w:hAnsiTheme="minorHAnsi"/>
        </w:rPr>
        <w:t xml:space="preserve">K fakturám musí být také přiloženy </w:t>
      </w:r>
      <w:r w:rsidRPr="0086465B">
        <w:rPr>
          <w:rFonts w:asciiTheme="minorHAnsi" w:hAnsiTheme="minorHAnsi"/>
          <w:b/>
        </w:rPr>
        <w:t>průvodky</w:t>
      </w:r>
      <w:r w:rsidRPr="00B8488C">
        <w:rPr>
          <w:rFonts w:asciiTheme="minorHAnsi" w:hAnsiTheme="minorHAnsi"/>
        </w:rPr>
        <w:t xml:space="preserve"> (tzv. košilky)</w:t>
      </w:r>
      <w:r w:rsidR="0086465B">
        <w:rPr>
          <w:rFonts w:asciiTheme="minorHAnsi" w:hAnsiTheme="minorHAnsi"/>
        </w:rPr>
        <w:t xml:space="preserve">, </w:t>
      </w:r>
      <w:r w:rsidR="009F008C">
        <w:rPr>
          <w:rFonts w:asciiTheme="minorHAnsi" w:hAnsiTheme="minorHAnsi"/>
        </w:rPr>
        <w:t>popř. bude na faktuře</w:t>
      </w:r>
      <w:r w:rsidR="0086465B">
        <w:rPr>
          <w:rFonts w:asciiTheme="minorHAnsi" w:hAnsiTheme="minorHAnsi"/>
        </w:rPr>
        <w:t xml:space="preserve"> záznam/razítko o předkontaci</w:t>
      </w:r>
    </w:p>
    <w:p w:rsidR="00DB5F29" w:rsidRPr="005A4D30" w:rsidRDefault="00DB5F29" w:rsidP="00DB5F2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8488C">
        <w:rPr>
          <w:rFonts w:asciiTheme="minorHAnsi" w:hAnsiTheme="minorHAnsi"/>
        </w:rPr>
        <w:t>U služeb třetích subjektů vždy doložit výpis z</w:t>
      </w:r>
      <w:r w:rsidR="00131BC9">
        <w:rPr>
          <w:rFonts w:asciiTheme="minorHAnsi" w:hAnsiTheme="minorHAnsi"/>
        </w:rPr>
        <w:t> </w:t>
      </w:r>
      <w:proofErr w:type="spellStart"/>
      <w:r w:rsidR="00131BC9">
        <w:rPr>
          <w:rFonts w:asciiTheme="minorHAnsi" w:hAnsiTheme="minorHAnsi"/>
          <w:b/>
        </w:rPr>
        <w:fldChar w:fldCharType="begin"/>
      </w:r>
      <w:r w:rsidR="00131BC9">
        <w:rPr>
          <w:rFonts w:asciiTheme="minorHAnsi" w:hAnsiTheme="minorHAnsi"/>
          <w:b/>
        </w:rPr>
        <w:instrText xml:space="preserve"> HYPERLINK "http://wwwinfo.mfcr.cz/ares/ares_es.html.cz" </w:instrText>
      </w:r>
      <w:r w:rsidR="00131BC9">
        <w:rPr>
          <w:rFonts w:asciiTheme="minorHAnsi" w:hAnsiTheme="minorHAnsi"/>
          <w:b/>
        </w:rPr>
        <w:fldChar w:fldCharType="separate"/>
      </w:r>
      <w:r w:rsidRPr="00131BC9">
        <w:rPr>
          <w:rStyle w:val="Hypertextovodkaz"/>
          <w:rFonts w:asciiTheme="minorHAnsi" w:hAnsiTheme="minorHAnsi"/>
          <w:b/>
        </w:rPr>
        <w:t>ARES</w:t>
      </w:r>
      <w:r w:rsidR="00131BC9">
        <w:rPr>
          <w:rFonts w:asciiTheme="minorHAnsi" w:hAnsiTheme="minorHAnsi"/>
          <w:b/>
        </w:rPr>
        <w:fldChar w:fldCharType="end"/>
      </w:r>
      <w:r w:rsidRPr="0086465B">
        <w:rPr>
          <w:rFonts w:asciiTheme="minorHAnsi" w:hAnsiTheme="minorHAnsi"/>
          <w:b/>
        </w:rPr>
        <w:t>u</w:t>
      </w:r>
      <w:proofErr w:type="spellEnd"/>
    </w:p>
    <w:p w:rsidR="005A4D30" w:rsidRPr="00131BC9" w:rsidRDefault="005A4D30" w:rsidP="00DB5F2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Veškeré dohody o provedení práce či dohody o pracovní činnosti patří vždy do kapitoly osobních/personálních výdajů, bez ohledu na to, co je jejich obsahem</w:t>
      </w:r>
    </w:p>
    <w:p w:rsidR="00131BC9" w:rsidRPr="00131BC9" w:rsidRDefault="00B410E5" w:rsidP="00131BC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8488C">
        <w:rPr>
          <w:rFonts w:asciiTheme="minorHAnsi" w:hAnsiTheme="minorHAnsi"/>
        </w:rPr>
        <w:t xml:space="preserve">K vyúčtování je nutno dodat veškeré </w:t>
      </w:r>
      <w:r w:rsidRPr="0086465B">
        <w:rPr>
          <w:rFonts w:asciiTheme="minorHAnsi" w:hAnsiTheme="minorHAnsi"/>
          <w:b/>
        </w:rPr>
        <w:t>ostatní relevantní podklady</w:t>
      </w:r>
      <w:r w:rsidRPr="00B8488C">
        <w:rPr>
          <w:rFonts w:asciiTheme="minorHAnsi" w:hAnsiTheme="minorHAnsi"/>
        </w:rPr>
        <w:t xml:space="preserve"> </w:t>
      </w:r>
      <w:r w:rsidRPr="00B8488C">
        <w:rPr>
          <w:rFonts w:asciiTheme="minorHAnsi" w:hAnsiTheme="minorHAnsi"/>
          <w:sz w:val="20"/>
          <w:szCs w:val="20"/>
        </w:rPr>
        <w:t>(např</w:t>
      </w:r>
      <w:r w:rsidRPr="00B8488C">
        <w:rPr>
          <w:rFonts w:asciiTheme="minorHAnsi" w:hAnsiTheme="minorHAnsi"/>
          <w:sz w:val="22"/>
          <w:szCs w:val="22"/>
        </w:rPr>
        <w:t>. prezenční listiny účastníků – v případě vícedenních projektů buď za každý den zvlášť, nebo předložit čestné prohlášení, kteří účastníci byli přítomni po celou dobu trvání projektu; fotodokumentaci, pořízené videozáznamy, publikace, letáky, plakáty, vzorky propagačních předmětů, cen do soutěží</w:t>
      </w:r>
      <w:r w:rsidR="006F3F1A">
        <w:rPr>
          <w:rFonts w:asciiTheme="minorHAnsi" w:hAnsiTheme="minorHAnsi"/>
          <w:sz w:val="22"/>
          <w:szCs w:val="22"/>
        </w:rPr>
        <w:t>, fotografie vybavení</w:t>
      </w:r>
      <w:r w:rsidRPr="00B8488C">
        <w:rPr>
          <w:rFonts w:asciiTheme="minorHAnsi" w:hAnsiTheme="minorHAnsi"/>
          <w:sz w:val="22"/>
          <w:szCs w:val="22"/>
        </w:rPr>
        <w:t xml:space="preserve"> apod</w:t>
      </w:r>
      <w:r w:rsidRPr="00B8488C">
        <w:rPr>
          <w:rFonts w:asciiTheme="minorHAnsi" w:hAnsiTheme="minorHAnsi"/>
          <w:sz w:val="20"/>
          <w:szCs w:val="20"/>
        </w:rPr>
        <w:t>.)</w:t>
      </w:r>
      <w:r w:rsidR="009403BA" w:rsidRPr="00B8488C">
        <w:rPr>
          <w:rFonts w:asciiTheme="minorHAnsi" w:hAnsiTheme="minorHAnsi"/>
        </w:rPr>
        <w:t xml:space="preserve"> </w:t>
      </w:r>
    </w:p>
    <w:p w:rsidR="009403BA" w:rsidRPr="00131BC9" w:rsidRDefault="00131BC9" w:rsidP="00131BC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S vyúčtováním se odevzdává 2x soupiska dokladů, 2x žádost o platbu, 2x závěrečná zpráva a další relevantní doklady uvedené na www.ern.cz</w:t>
      </w:r>
    </w:p>
    <w:p w:rsidR="00B410E5" w:rsidRPr="00B8488C" w:rsidRDefault="009403BA" w:rsidP="009403B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lastRenderedPageBreak/>
        <w:t>Vyúčtování musí být předloženo v </w:t>
      </w:r>
      <w:r w:rsidRPr="0086465B">
        <w:rPr>
          <w:rFonts w:asciiTheme="minorHAnsi" w:hAnsiTheme="minorHAnsi"/>
          <w:b/>
        </w:rPr>
        <w:t>uspořádané formě</w:t>
      </w:r>
      <w:r w:rsidRPr="00B8488C">
        <w:rPr>
          <w:rFonts w:asciiTheme="minorHAnsi" w:hAnsiTheme="minorHAnsi"/>
        </w:rPr>
        <w:t>, tj. v deskách nebo rychlovazači, s očíslovanými stránkami, doplněno seznamem předkládaných dokladů a příloh</w:t>
      </w:r>
    </w:p>
    <w:p w:rsidR="00B410E5" w:rsidRPr="00131BC9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131BC9">
        <w:rPr>
          <w:rFonts w:asciiTheme="minorHAnsi" w:hAnsiTheme="minorHAnsi"/>
        </w:rPr>
        <w:t xml:space="preserve">Veškeré výdaje musí </w:t>
      </w:r>
      <w:r w:rsidR="00B8488C" w:rsidRPr="00715409">
        <w:rPr>
          <w:rFonts w:asciiTheme="minorHAnsi" w:hAnsiTheme="minorHAnsi"/>
          <w:b/>
        </w:rPr>
        <w:t xml:space="preserve">vzniknout </w:t>
      </w:r>
      <w:r w:rsidRPr="00715409">
        <w:rPr>
          <w:rFonts w:asciiTheme="minorHAnsi" w:hAnsiTheme="minorHAnsi"/>
          <w:b/>
        </w:rPr>
        <w:t xml:space="preserve">v době </w:t>
      </w:r>
      <w:r w:rsidR="00715409">
        <w:rPr>
          <w:rFonts w:asciiTheme="minorHAnsi" w:hAnsiTheme="minorHAnsi"/>
          <w:b/>
        </w:rPr>
        <w:t>realizace</w:t>
      </w:r>
      <w:r w:rsidRPr="00715409">
        <w:rPr>
          <w:rFonts w:asciiTheme="minorHAnsi" w:hAnsiTheme="minorHAnsi"/>
          <w:b/>
        </w:rPr>
        <w:t xml:space="preserve"> projektu</w:t>
      </w:r>
      <w:r w:rsidR="0086465B" w:rsidRPr="00131BC9">
        <w:rPr>
          <w:rFonts w:asciiTheme="minorHAnsi" w:hAnsiTheme="minorHAnsi"/>
        </w:rPr>
        <w:t>, která</w:t>
      </w:r>
      <w:r w:rsidRPr="00131BC9">
        <w:rPr>
          <w:rFonts w:asciiTheme="minorHAnsi" w:hAnsiTheme="minorHAnsi"/>
        </w:rPr>
        <w:t xml:space="preserve"> je stanoven</w:t>
      </w:r>
      <w:r w:rsidR="0086465B" w:rsidRPr="00131BC9">
        <w:rPr>
          <w:rFonts w:asciiTheme="minorHAnsi" w:hAnsiTheme="minorHAnsi"/>
        </w:rPr>
        <w:t>a</w:t>
      </w:r>
      <w:r w:rsidRPr="00131BC9">
        <w:rPr>
          <w:rFonts w:asciiTheme="minorHAnsi" w:hAnsiTheme="minorHAnsi"/>
        </w:rPr>
        <w:t xml:space="preserve"> ve </w:t>
      </w:r>
      <w:r w:rsidR="00B8488C" w:rsidRPr="00131BC9">
        <w:rPr>
          <w:rFonts w:asciiTheme="minorHAnsi" w:hAnsiTheme="minorHAnsi"/>
        </w:rPr>
        <w:t>Smlouvě o dotaci</w:t>
      </w:r>
    </w:p>
    <w:p w:rsidR="0086465B" w:rsidRDefault="0086465B" w:rsidP="00B8488C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Časová způsobilost výdajů začíná dnem registrace projektové žádosti</w:t>
      </w:r>
    </w:p>
    <w:p w:rsidR="00B8488C" w:rsidRPr="00B8488C" w:rsidRDefault="00B8488C" w:rsidP="00B8488C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B8488C">
        <w:rPr>
          <w:rFonts w:ascii="Calibri" w:hAnsi="Calibri"/>
        </w:rPr>
        <w:t>Konečný termín způsobilosti výdajů je určen datem ukončení projektu (toto datum je uvedeno ve Smlouvě o poskytnutí dotace). Aby byl daný výdaj způsobilý, nesmí datum uskutečnění zdanitelného plnění (případně datum vystavení) nastat později než v termínu ukončení realizace projektu. Zároveň platí, že aby byly výdaje způsobilé, musí být uhrazeny nejpozději do 30 dní od ukončení realizace projektu a musí být náležitě doloženy.</w:t>
      </w:r>
    </w:p>
    <w:p w:rsidR="00B410E5" w:rsidRPr="00B8488C" w:rsidRDefault="00B8488C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C</w:t>
      </w:r>
      <w:r w:rsidR="00B410E5" w:rsidRPr="00B8488C">
        <w:rPr>
          <w:rFonts w:asciiTheme="minorHAnsi" w:hAnsiTheme="minorHAnsi"/>
        </w:rPr>
        <w:t>eny do soutěží (ve formě věcných cen) jsou uznatelné jen do výše 50</w:t>
      </w:r>
      <w:r w:rsidRPr="00B8488C">
        <w:rPr>
          <w:rFonts w:asciiTheme="minorHAnsi" w:hAnsiTheme="minorHAnsi"/>
        </w:rPr>
        <w:t xml:space="preserve"> EUR,-</w:t>
      </w:r>
      <w:r w:rsidR="00B410E5" w:rsidRPr="00B8488C">
        <w:rPr>
          <w:rFonts w:asciiTheme="minorHAnsi" w:hAnsiTheme="minorHAnsi"/>
        </w:rPr>
        <w:t xml:space="preserve"> za</w:t>
      </w:r>
      <w:r w:rsidRPr="00B8488C">
        <w:rPr>
          <w:rFonts w:asciiTheme="minorHAnsi" w:hAnsiTheme="minorHAnsi"/>
        </w:rPr>
        <w:t xml:space="preserve"> kus</w:t>
      </w:r>
      <w:r w:rsidR="006F3F1A">
        <w:rPr>
          <w:rFonts w:asciiTheme="minorHAnsi" w:hAnsiTheme="minorHAnsi"/>
        </w:rPr>
        <w:t xml:space="preserve"> a musí být řádně a neoddělitelně označeny logy povinné publicity</w:t>
      </w:r>
      <w:r w:rsidRPr="00B8488C">
        <w:rPr>
          <w:rFonts w:asciiTheme="minorHAnsi" w:hAnsiTheme="minorHAnsi"/>
        </w:rPr>
        <w:t xml:space="preserve">; 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8488C">
        <w:rPr>
          <w:rFonts w:asciiTheme="minorHAnsi" w:hAnsiTheme="minorHAnsi"/>
        </w:rPr>
        <w:t>Veškeré výdaje musí být v </w:t>
      </w:r>
      <w:r w:rsidRPr="005A4D30">
        <w:rPr>
          <w:rFonts w:asciiTheme="minorHAnsi" w:hAnsiTheme="minorHAnsi"/>
        </w:rPr>
        <w:t>Soupisce dokladů</w:t>
      </w:r>
      <w:r w:rsidR="005A4D30">
        <w:rPr>
          <w:rFonts w:asciiTheme="minorHAnsi" w:hAnsiTheme="minorHAnsi"/>
        </w:rPr>
        <w:t xml:space="preserve"> přepočítány na E</w:t>
      </w:r>
      <w:r w:rsidRPr="00B8488C">
        <w:rPr>
          <w:rFonts w:asciiTheme="minorHAnsi" w:hAnsiTheme="minorHAnsi"/>
        </w:rPr>
        <w:t xml:space="preserve">uro jednotným kurzem, který vyhlásí EU jako platný pro měsíc, ve kterém bude </w:t>
      </w:r>
      <w:r w:rsidRPr="005A4D30">
        <w:rPr>
          <w:rFonts w:asciiTheme="minorHAnsi" w:hAnsiTheme="minorHAnsi"/>
        </w:rPr>
        <w:t>Soupiska</w:t>
      </w:r>
      <w:r w:rsidR="005A4D30">
        <w:rPr>
          <w:rFonts w:asciiTheme="minorHAnsi" w:hAnsiTheme="minorHAnsi"/>
        </w:rPr>
        <w:t xml:space="preserve"> podepsána</w:t>
      </w:r>
      <w:r w:rsidR="006F3F1A">
        <w:rPr>
          <w:rFonts w:asciiTheme="minorHAnsi" w:hAnsiTheme="minorHAnsi"/>
        </w:rPr>
        <w:t xml:space="preserve"> </w:t>
      </w:r>
      <w:r w:rsidRPr="00B8488C">
        <w:rPr>
          <w:rFonts w:asciiTheme="minorHAnsi" w:hAnsiTheme="minorHAnsi"/>
        </w:rPr>
        <w:t>na adrese</w:t>
      </w:r>
      <w:r w:rsidR="006F3F1A">
        <w:rPr>
          <w:rFonts w:asciiTheme="minorHAnsi" w:hAnsiTheme="minorHAnsi"/>
        </w:rPr>
        <w:t>:</w:t>
      </w:r>
      <w:r w:rsidRPr="00B8488C">
        <w:rPr>
          <w:rFonts w:asciiTheme="minorHAnsi" w:hAnsiTheme="minorHAnsi"/>
        </w:rPr>
        <w:t xml:space="preserve"> </w:t>
      </w:r>
      <w:hyperlink r:id="rId7" w:history="1">
        <w:r w:rsidRPr="00B8488C">
          <w:rPr>
            <w:rStyle w:val="Hypertextovodkaz"/>
            <w:rFonts w:asciiTheme="minorHAnsi" w:hAnsiTheme="minorHAnsi"/>
            <w:sz w:val="22"/>
            <w:szCs w:val="22"/>
          </w:rPr>
          <w:t>http://ec.europa.eu/budget/inforeuro/index.cfm?fuseaction=currency_historique&amp;currency=47&amp;Language=en</w:t>
        </w:r>
      </w:hyperlink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Alkohol a tabákové výrobky jsou vždy nezpůsobilým výdajem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Nezpůsobilým výdajem je také nákup květin, určených jako výzdoba, dar nebo pozornost účastníkům projektu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Honoráře profesionálním umělcům jsou taktéž nezpůsobilé, u amatérských umělců je nutno doložit jejich čestné prohlášení, že umělecká činnost není hlavním zdrojem jejich příjmů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 xml:space="preserve">Žadatel musí dodržet postupy pro zadávání </w:t>
      </w:r>
      <w:r w:rsidR="000607DB">
        <w:rPr>
          <w:rFonts w:asciiTheme="minorHAnsi" w:hAnsiTheme="minorHAnsi"/>
        </w:rPr>
        <w:t xml:space="preserve">veřejných zakázek – viz </w:t>
      </w:r>
      <w:hyperlink r:id="rId8" w:history="1">
        <w:r w:rsidR="000607DB" w:rsidRPr="000607DB">
          <w:rPr>
            <w:rStyle w:val="Hypertextovodkaz"/>
            <w:rFonts w:asciiTheme="minorHAnsi" w:hAnsiTheme="minorHAnsi"/>
          </w:rPr>
          <w:t>metodika</w:t>
        </w:r>
      </w:hyperlink>
      <w:r w:rsidR="003632F8">
        <w:rPr>
          <w:rFonts w:asciiTheme="minorHAnsi" w:hAnsiTheme="minorHAnsi"/>
        </w:rPr>
        <w:t xml:space="preserve"> MMR</w:t>
      </w:r>
      <w:r w:rsidRPr="00B8488C">
        <w:rPr>
          <w:rFonts w:asciiTheme="minorHAnsi" w:hAnsiTheme="minorHAnsi"/>
        </w:rPr>
        <w:t xml:space="preserve"> </w:t>
      </w:r>
      <w:r w:rsidR="003632F8">
        <w:rPr>
          <w:rFonts w:asciiTheme="minorHAnsi" w:hAnsiTheme="minorHAnsi"/>
        </w:rPr>
        <w:t xml:space="preserve">a </w:t>
      </w:r>
      <w:hyperlink r:id="rId9" w:history="1">
        <w:r w:rsidR="003632F8" w:rsidRPr="003632F8">
          <w:rPr>
            <w:rStyle w:val="Hypertextovodkaz"/>
            <w:rFonts w:asciiTheme="minorHAnsi" w:hAnsiTheme="minorHAnsi"/>
          </w:rPr>
          <w:t>evropská příručka</w:t>
        </w:r>
      </w:hyperlink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Projektoví partneři si nes</w:t>
      </w:r>
      <w:r w:rsidR="008D67C8">
        <w:rPr>
          <w:rFonts w:asciiTheme="minorHAnsi" w:hAnsiTheme="minorHAnsi"/>
        </w:rPr>
        <w:t>mějí fakturovat mezi sebou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8488C">
        <w:rPr>
          <w:rFonts w:asciiTheme="minorHAnsi" w:hAnsiTheme="minorHAnsi"/>
        </w:rPr>
        <w:t xml:space="preserve">Čeští projektoví partneři se vždy musejí řídit českými národními předpisy </w:t>
      </w:r>
      <w:r w:rsidRPr="00B8488C">
        <w:rPr>
          <w:rFonts w:asciiTheme="minorHAnsi" w:hAnsiTheme="minorHAnsi"/>
          <w:sz w:val="20"/>
          <w:szCs w:val="20"/>
        </w:rPr>
        <w:t>(</w:t>
      </w:r>
      <w:r w:rsidR="008D67C8">
        <w:rPr>
          <w:rFonts w:asciiTheme="minorHAnsi" w:hAnsiTheme="minorHAnsi"/>
          <w:sz w:val="22"/>
          <w:szCs w:val="22"/>
        </w:rPr>
        <w:t>např. při stanovení</w:t>
      </w:r>
      <w:r w:rsidRPr="00B8488C">
        <w:rPr>
          <w:rFonts w:asciiTheme="minorHAnsi" w:hAnsiTheme="minorHAnsi"/>
          <w:sz w:val="22"/>
          <w:szCs w:val="22"/>
        </w:rPr>
        <w:t xml:space="preserve"> výše </w:t>
      </w:r>
      <w:r w:rsidR="008D67C8">
        <w:rPr>
          <w:rFonts w:asciiTheme="minorHAnsi" w:hAnsiTheme="minorHAnsi"/>
          <w:sz w:val="22"/>
          <w:szCs w:val="22"/>
        </w:rPr>
        <w:t>cestovních náhrad apod.</w:t>
      </w:r>
      <w:r w:rsidRPr="00B8488C">
        <w:rPr>
          <w:rFonts w:asciiTheme="minorHAnsi" w:hAnsiTheme="minorHAnsi"/>
          <w:sz w:val="20"/>
          <w:szCs w:val="20"/>
        </w:rPr>
        <w:t>)</w:t>
      </w:r>
    </w:p>
    <w:p w:rsidR="00B8488C" w:rsidRPr="00B8488C" w:rsidRDefault="00B8488C" w:rsidP="0086465B">
      <w:pPr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B410E5" w:rsidRPr="0086465B" w:rsidRDefault="00B410E5" w:rsidP="00B410E5">
      <w:pPr>
        <w:spacing w:line="360" w:lineRule="auto"/>
        <w:rPr>
          <w:rFonts w:asciiTheme="minorHAnsi" w:hAnsiTheme="minorHAnsi"/>
          <w:u w:val="single"/>
        </w:rPr>
      </w:pPr>
      <w:r w:rsidRPr="0086465B">
        <w:rPr>
          <w:rFonts w:asciiTheme="minorHAnsi" w:hAnsiTheme="minorHAnsi"/>
          <w:u w:val="single"/>
        </w:rPr>
        <w:t>Publicita Evropské Unie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lastRenderedPageBreak/>
        <w:t>Požadavky na publicitu se primárně řídí nařízením ES č.</w:t>
      </w:r>
      <w:r w:rsidR="00715409">
        <w:rPr>
          <w:rFonts w:asciiTheme="minorHAnsi" w:hAnsiTheme="minorHAnsi"/>
        </w:rPr>
        <w:t>1303/2013</w:t>
      </w:r>
      <w:r w:rsidR="004946F9">
        <w:rPr>
          <w:rFonts w:asciiTheme="minorHAnsi" w:hAnsiTheme="minorHAnsi"/>
        </w:rPr>
        <w:t xml:space="preserve"> a programovou dokumentace. M</w:t>
      </w:r>
      <w:r w:rsidRPr="00B8488C">
        <w:rPr>
          <w:rFonts w:asciiTheme="minorHAnsi" w:hAnsiTheme="minorHAnsi"/>
        </w:rPr>
        <w:t>ezi základní požadavky patří: symbol Evropské Unie v souladu s grafickými normami; odkaz na Evropskou Unii, tzn., text Evropská Unie; odkaz na ERDF, tzn., text „Evrop</w:t>
      </w:r>
      <w:r w:rsidR="00B8488C">
        <w:rPr>
          <w:rFonts w:asciiTheme="minorHAnsi" w:hAnsiTheme="minorHAnsi"/>
        </w:rPr>
        <w:t>ský fond pro regionální rozvoj“</w:t>
      </w:r>
      <w:r w:rsidRPr="00B8488C">
        <w:rPr>
          <w:rFonts w:asciiTheme="minorHAnsi" w:hAnsiTheme="minorHAnsi"/>
        </w:rPr>
        <w:t xml:space="preserve">; </w:t>
      </w:r>
      <w:r w:rsidR="00B8488C">
        <w:rPr>
          <w:rFonts w:asciiTheme="minorHAnsi" w:hAnsiTheme="minorHAnsi"/>
        </w:rPr>
        <w:t>logo programu spolupráce</w:t>
      </w:r>
      <w:r w:rsidR="00715409">
        <w:rPr>
          <w:rFonts w:asciiTheme="minorHAnsi" w:hAnsiTheme="minorHAnsi"/>
        </w:rPr>
        <w:t>, logo Euroregionu Nisa</w:t>
      </w:r>
    </w:p>
    <w:p w:rsidR="0086465B" w:rsidRPr="00B8488C" w:rsidRDefault="004E1246" w:rsidP="00B8488C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Jednotlivá loga a také </w:t>
      </w:r>
      <w:r w:rsidR="0086465B">
        <w:rPr>
          <w:rFonts w:asciiTheme="minorHAnsi" w:hAnsiTheme="minorHAnsi"/>
        </w:rPr>
        <w:t>Příručka k </w:t>
      </w:r>
      <w:r w:rsidR="006F3F1A">
        <w:rPr>
          <w:rFonts w:asciiTheme="minorHAnsi" w:hAnsiTheme="minorHAnsi"/>
        </w:rPr>
        <w:t>publicitě</w:t>
      </w:r>
      <w:r w:rsidR="0086465B">
        <w:rPr>
          <w:rFonts w:asciiTheme="minorHAnsi" w:hAnsiTheme="minorHAnsi"/>
        </w:rPr>
        <w:t xml:space="preserve"> – „</w:t>
      </w:r>
      <w:r w:rsidR="006F3F1A">
        <w:rPr>
          <w:rFonts w:asciiTheme="minorHAnsi" w:hAnsiTheme="minorHAnsi"/>
        </w:rPr>
        <w:t>M</w:t>
      </w:r>
      <w:r w:rsidR="0086465B">
        <w:rPr>
          <w:rFonts w:asciiTheme="minorHAnsi" w:hAnsiTheme="minorHAnsi"/>
        </w:rPr>
        <w:t>etodika k informač</w:t>
      </w:r>
      <w:r w:rsidR="004946F9">
        <w:rPr>
          <w:rFonts w:asciiTheme="minorHAnsi" w:hAnsiTheme="minorHAnsi"/>
        </w:rPr>
        <w:t>ním a komunikačním opatřením“ jsou</w:t>
      </w:r>
      <w:r w:rsidR="0086465B">
        <w:rPr>
          <w:rFonts w:asciiTheme="minorHAnsi" w:hAnsiTheme="minorHAnsi"/>
        </w:rPr>
        <w:t xml:space="preserve"> ke stažení</w:t>
      </w:r>
      <w:r w:rsidR="004946F9">
        <w:rPr>
          <w:rFonts w:asciiTheme="minorHAnsi" w:hAnsiTheme="minorHAnsi"/>
        </w:rPr>
        <w:t xml:space="preserve"> na stránkách</w:t>
      </w:r>
      <w:r w:rsidR="0086465B">
        <w:rPr>
          <w:rFonts w:asciiTheme="minorHAnsi" w:hAnsiTheme="minorHAnsi"/>
        </w:rPr>
        <w:t xml:space="preserve"> </w:t>
      </w:r>
      <w:r w:rsidR="006F3F1A">
        <w:rPr>
          <w:rFonts w:asciiTheme="minorHAnsi" w:hAnsiTheme="minorHAnsi"/>
        </w:rPr>
        <w:t xml:space="preserve">pod záložkou </w:t>
      </w:r>
      <w:hyperlink r:id="rId10" w:history="1">
        <w:r w:rsidR="006F3F1A" w:rsidRPr="006F3F1A">
          <w:rPr>
            <w:rStyle w:val="Hypertextovodkaz"/>
            <w:rFonts w:asciiTheme="minorHAnsi" w:hAnsiTheme="minorHAnsi"/>
          </w:rPr>
          <w:t>publicita</w:t>
        </w:r>
      </w:hyperlink>
    </w:p>
    <w:p w:rsidR="00B410E5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 xml:space="preserve">Za případné nedodržení </w:t>
      </w:r>
      <w:r w:rsidR="008D67C8">
        <w:rPr>
          <w:rFonts w:asciiTheme="minorHAnsi" w:hAnsiTheme="minorHAnsi"/>
        </w:rPr>
        <w:t xml:space="preserve">pravidel </w:t>
      </w:r>
      <w:r w:rsidRPr="00B8488C">
        <w:rPr>
          <w:rFonts w:asciiTheme="minorHAnsi" w:hAnsiTheme="minorHAnsi"/>
        </w:rPr>
        <w:t>publicity budou</w:t>
      </w:r>
      <w:r w:rsidR="008D67C8">
        <w:rPr>
          <w:rFonts w:asciiTheme="minorHAnsi" w:hAnsiTheme="minorHAnsi"/>
        </w:rPr>
        <w:t xml:space="preserve"> uplatněny sankce.</w:t>
      </w:r>
    </w:p>
    <w:p w:rsidR="007837EB" w:rsidRDefault="007837EB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Během realizace jednotlivých akcí je nutné na snadno viditelném místě umístit plakát (popř. běžný papír) s minimální velikostí A3, na kterém bude uveden název projektu v českém i německém jazyce a odkaz na podporu z EU a z Evropského fondu pro regionální rozvoj.</w:t>
      </w:r>
    </w:p>
    <w:p w:rsidR="007837EB" w:rsidRPr="00B8488C" w:rsidRDefault="007837EB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stávajících nebo pro daný projekt vytvořených internetových stránkách příjemce je nutno informovat o podpoře z EU a z Evropského fondu pro regionální rozvoj a </w:t>
      </w:r>
      <w:r w:rsidR="00340616">
        <w:rPr>
          <w:rFonts w:asciiTheme="minorHAnsi" w:hAnsiTheme="minorHAnsi"/>
        </w:rPr>
        <w:t>umístit</w:t>
      </w:r>
      <w:r>
        <w:rPr>
          <w:rFonts w:asciiTheme="minorHAnsi" w:hAnsiTheme="minorHAnsi"/>
        </w:rPr>
        <w:t xml:space="preserve"> loga povinné publicity a uvést základní informace o projektu.</w:t>
      </w:r>
      <w:r w:rsidR="002279C5">
        <w:rPr>
          <w:rFonts w:asciiTheme="minorHAnsi" w:hAnsiTheme="minorHAnsi"/>
        </w:rPr>
        <w:t xml:space="preserve"> Loga musí být viditelná ihned při otevření dané stránky bez nutnosti přesunout se na jinou část této stránky.</w:t>
      </w:r>
      <w:bookmarkStart w:id="0" w:name="_GoBack"/>
      <w:bookmarkEnd w:id="0"/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Je nezbytné dodržet zásady publicity na všech výstupech projektu (letáky, plakáty,</w:t>
      </w:r>
      <w:r w:rsidR="0086465B">
        <w:rPr>
          <w:rFonts w:asciiTheme="minorHAnsi" w:hAnsiTheme="minorHAnsi"/>
        </w:rPr>
        <w:t xml:space="preserve"> propagační předměty</w:t>
      </w:r>
      <w:r w:rsidR="004E1246">
        <w:rPr>
          <w:rFonts w:asciiTheme="minorHAnsi" w:hAnsiTheme="minorHAnsi"/>
        </w:rPr>
        <w:t>,</w:t>
      </w:r>
      <w:r w:rsidRPr="00B8488C">
        <w:rPr>
          <w:rFonts w:asciiTheme="minorHAnsi" w:hAnsiTheme="minorHAnsi"/>
        </w:rPr>
        <w:t xml:space="preserve"> </w:t>
      </w:r>
      <w:r w:rsidR="008D67C8">
        <w:rPr>
          <w:rFonts w:asciiTheme="minorHAnsi" w:hAnsiTheme="minorHAnsi"/>
        </w:rPr>
        <w:t xml:space="preserve">publikace, </w:t>
      </w:r>
      <w:r w:rsidRPr="00B8488C">
        <w:rPr>
          <w:rFonts w:asciiTheme="minorHAnsi" w:hAnsiTheme="minorHAnsi"/>
        </w:rPr>
        <w:t>věcné dary, ceny do soutěží, videozáznamy, fotodokumentace apod.).</w:t>
      </w:r>
    </w:p>
    <w:p w:rsidR="00B8488C" w:rsidRPr="00B8488C" w:rsidRDefault="00B8488C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V rámci projektu pořizu</w:t>
      </w:r>
      <w:r w:rsidR="008D67C8">
        <w:rPr>
          <w:rFonts w:asciiTheme="minorHAnsi" w:hAnsiTheme="minorHAnsi"/>
        </w:rPr>
        <w:t>jte jen takové ceny/propagační</w:t>
      </w:r>
      <w:r w:rsidRPr="00B8488C">
        <w:rPr>
          <w:rFonts w:asciiTheme="minorHAnsi" w:hAnsiTheme="minorHAnsi"/>
        </w:rPr>
        <w:t xml:space="preserve"> předměty, které lze bez problému trvale opatřit logy povinné publicity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 xml:space="preserve">Totéž platí i pro pořízené </w:t>
      </w:r>
      <w:r w:rsidR="004E1246">
        <w:rPr>
          <w:rFonts w:asciiTheme="minorHAnsi" w:hAnsiTheme="minorHAnsi"/>
        </w:rPr>
        <w:t>vybavení</w:t>
      </w:r>
      <w:r w:rsidRPr="00B8488C">
        <w:rPr>
          <w:rFonts w:asciiTheme="minorHAnsi" w:hAnsiTheme="minorHAnsi"/>
        </w:rPr>
        <w:t xml:space="preserve"> typu notebook, fotoaparát, sportovní potřeby atd., u nichž je nutné doložit k vyúčtování jejich fotografii, na které je zřetelné </w:t>
      </w:r>
      <w:r w:rsidR="004E1246">
        <w:rPr>
          <w:rFonts w:asciiTheme="minorHAnsi" w:hAnsiTheme="minorHAnsi"/>
        </w:rPr>
        <w:t>umístění log</w:t>
      </w:r>
      <w:r w:rsidRPr="00B8488C">
        <w:rPr>
          <w:rFonts w:asciiTheme="minorHAnsi" w:hAnsiTheme="minorHAnsi"/>
        </w:rPr>
        <w:t xml:space="preserve"> publicity</w:t>
      </w:r>
      <w:r w:rsidR="004E1246">
        <w:rPr>
          <w:rFonts w:asciiTheme="minorHAnsi" w:hAnsiTheme="minorHAnsi"/>
        </w:rPr>
        <w:t xml:space="preserve"> trvalým způsobem</w:t>
      </w:r>
      <w:r w:rsidR="008D67C8">
        <w:rPr>
          <w:rFonts w:asciiTheme="minorHAnsi" w:hAnsiTheme="minorHAnsi"/>
        </w:rPr>
        <w:t>.</w:t>
      </w:r>
    </w:p>
    <w:p w:rsidR="00B410E5" w:rsidRPr="00B8488C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 xml:space="preserve">Vlajky/loga nesmí být deformovány, nesmí splývat </w:t>
      </w:r>
      <w:r w:rsidR="008D67C8">
        <w:rPr>
          <w:rFonts w:asciiTheme="minorHAnsi" w:hAnsiTheme="minorHAnsi"/>
        </w:rPr>
        <w:t xml:space="preserve">s pozadím nebo </w:t>
      </w:r>
      <w:r w:rsidRPr="00B8488C">
        <w:rPr>
          <w:rFonts w:asciiTheme="minorHAnsi" w:hAnsiTheme="minorHAnsi"/>
        </w:rPr>
        <w:t>s ostatními logy nebo být použito chybné monochromatické zobrazení</w:t>
      </w:r>
    </w:p>
    <w:p w:rsidR="00B410E5" w:rsidRPr="00B8488C" w:rsidRDefault="006F3F1A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Loga nesmí být nečitelná</w:t>
      </w:r>
      <w:r w:rsidR="006D2196">
        <w:rPr>
          <w:rFonts w:asciiTheme="minorHAnsi" w:hAnsiTheme="minorHAnsi"/>
        </w:rPr>
        <w:t xml:space="preserve">, </w:t>
      </w:r>
      <w:r w:rsidR="00B410E5" w:rsidRPr="00B8488C">
        <w:rPr>
          <w:rFonts w:asciiTheme="minorHAnsi" w:hAnsiTheme="minorHAnsi"/>
        </w:rPr>
        <w:t>zkreslená apod.</w:t>
      </w:r>
    </w:p>
    <w:p w:rsidR="00B410E5" w:rsidRDefault="00B410E5" w:rsidP="00B410E5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8488C">
        <w:rPr>
          <w:rFonts w:asciiTheme="minorHAnsi" w:hAnsiTheme="minorHAnsi"/>
        </w:rPr>
        <w:t>Publicita také nesmí být pouze na obalu, ale musí být přímo na předmětu (</w:t>
      </w:r>
      <w:r w:rsidRPr="00B8488C">
        <w:rPr>
          <w:rFonts w:asciiTheme="minorHAnsi" w:hAnsiTheme="minorHAnsi"/>
          <w:sz w:val="22"/>
          <w:szCs w:val="22"/>
        </w:rPr>
        <w:t>toto lze zmírnit pouze v případě DVD nebo CD, kdy záleží na tom, zda je samotný nosič potištěn.</w:t>
      </w:r>
      <w:r w:rsidR="008D67C8">
        <w:rPr>
          <w:rFonts w:asciiTheme="minorHAnsi" w:hAnsiTheme="minorHAnsi"/>
          <w:sz w:val="22"/>
          <w:szCs w:val="22"/>
        </w:rPr>
        <w:t>)</w:t>
      </w:r>
      <w:r w:rsidRPr="00B8488C">
        <w:rPr>
          <w:rFonts w:asciiTheme="minorHAnsi" w:hAnsiTheme="minorHAnsi"/>
          <w:sz w:val="22"/>
          <w:szCs w:val="22"/>
        </w:rPr>
        <w:t xml:space="preserve"> </w:t>
      </w:r>
      <w:r w:rsidR="008D67C8">
        <w:rPr>
          <w:rFonts w:asciiTheme="minorHAnsi" w:hAnsiTheme="minorHAnsi"/>
          <w:sz w:val="22"/>
          <w:szCs w:val="22"/>
        </w:rPr>
        <w:lastRenderedPageBreak/>
        <w:t>Umístění log pouze na obalu je přípustné jen v případě, že jde o trvalý obal, který je součástí předmětu/ceny.</w:t>
      </w:r>
    </w:p>
    <w:p w:rsidR="00C96AF8" w:rsidRDefault="00C96AF8" w:rsidP="00C96AF8">
      <w:pPr>
        <w:spacing w:line="360" w:lineRule="auto"/>
        <w:rPr>
          <w:rFonts w:asciiTheme="minorHAnsi" w:hAnsiTheme="minorHAnsi"/>
        </w:rPr>
      </w:pPr>
    </w:p>
    <w:p w:rsidR="00C96AF8" w:rsidRPr="003D12FF" w:rsidRDefault="00C96AF8" w:rsidP="00C96AF8">
      <w:pPr>
        <w:spacing w:line="360" w:lineRule="auto"/>
        <w:rPr>
          <w:rFonts w:asciiTheme="minorHAnsi" w:hAnsiTheme="minorHAnsi"/>
          <w:u w:val="single"/>
        </w:rPr>
      </w:pPr>
      <w:r w:rsidRPr="003D12FF">
        <w:rPr>
          <w:rFonts w:asciiTheme="minorHAnsi" w:hAnsiTheme="minorHAnsi"/>
          <w:u w:val="single"/>
        </w:rPr>
        <w:t>Personální výdaje – paušál 20%</w:t>
      </w:r>
      <w:r w:rsidR="003D12FF">
        <w:rPr>
          <w:rFonts w:asciiTheme="minorHAnsi" w:hAnsiTheme="minorHAnsi"/>
          <w:u w:val="single"/>
        </w:rPr>
        <w:t xml:space="preserve"> </w:t>
      </w:r>
    </w:p>
    <w:p w:rsidR="00C96AF8" w:rsidRPr="006D2196" w:rsidRDefault="00E34D07" w:rsidP="006D2196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D2196">
        <w:rPr>
          <w:rFonts w:asciiTheme="minorHAnsi" w:hAnsiTheme="minorHAnsi"/>
        </w:rPr>
        <w:t xml:space="preserve">Ke kontrole </w:t>
      </w:r>
      <w:r w:rsidR="004E1246">
        <w:rPr>
          <w:rFonts w:asciiTheme="minorHAnsi" w:hAnsiTheme="minorHAnsi"/>
        </w:rPr>
        <w:t xml:space="preserve">sekretariátu FMP </w:t>
      </w:r>
      <w:r w:rsidRPr="006D2196">
        <w:rPr>
          <w:rFonts w:asciiTheme="minorHAnsi" w:hAnsiTheme="minorHAnsi"/>
        </w:rPr>
        <w:t xml:space="preserve">se </w:t>
      </w:r>
      <w:r w:rsidR="004E1246">
        <w:rPr>
          <w:rFonts w:asciiTheme="minorHAnsi" w:hAnsiTheme="minorHAnsi"/>
        </w:rPr>
        <w:t>nepředkládají</w:t>
      </w:r>
      <w:r w:rsidR="00C96AF8" w:rsidRPr="006D2196">
        <w:rPr>
          <w:rFonts w:asciiTheme="minorHAnsi" w:hAnsiTheme="minorHAnsi"/>
        </w:rPr>
        <w:t xml:space="preserve"> dílčí doklady k personálním výdajům. Částka personálních výdajů je vypočtena až na závěr jako 20% ze sumy všech způsobilých přímých výdajů. </w:t>
      </w:r>
    </w:p>
    <w:p w:rsidR="00C96AF8" w:rsidRPr="006D2196" w:rsidRDefault="00C96AF8" w:rsidP="006D2196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D2196">
        <w:rPr>
          <w:rFonts w:asciiTheme="minorHAnsi" w:hAnsiTheme="minorHAnsi"/>
        </w:rPr>
        <w:t xml:space="preserve">Pro případ jiných nadřízených kontrol </w:t>
      </w:r>
      <w:r w:rsidR="004E1246">
        <w:rPr>
          <w:rFonts w:asciiTheme="minorHAnsi" w:hAnsiTheme="minorHAnsi"/>
        </w:rPr>
        <w:t xml:space="preserve">důrazně </w:t>
      </w:r>
      <w:r w:rsidRPr="006D2196">
        <w:rPr>
          <w:rFonts w:asciiTheme="minorHAnsi" w:hAnsiTheme="minorHAnsi"/>
        </w:rPr>
        <w:t>doporučujeme pečlivé vedení agendy personálních výdajů a přiřazení poměrné části těchto výdajů k</w:t>
      </w:r>
      <w:r w:rsidR="00E34D07" w:rsidRPr="006D2196">
        <w:rPr>
          <w:rFonts w:asciiTheme="minorHAnsi" w:hAnsiTheme="minorHAnsi"/>
        </w:rPr>
        <w:t xml:space="preserve"> Vaší </w:t>
      </w:r>
      <w:r w:rsidR="004E1246">
        <w:rPr>
          <w:rFonts w:asciiTheme="minorHAnsi" w:hAnsiTheme="minorHAnsi"/>
        </w:rPr>
        <w:t xml:space="preserve">archivované </w:t>
      </w:r>
      <w:r w:rsidR="00E34D07" w:rsidRPr="006D2196">
        <w:rPr>
          <w:rFonts w:asciiTheme="minorHAnsi" w:hAnsiTheme="minorHAnsi"/>
        </w:rPr>
        <w:t xml:space="preserve">dokumentaci </w:t>
      </w:r>
      <w:r w:rsidRPr="006D2196">
        <w:rPr>
          <w:rFonts w:asciiTheme="minorHAnsi" w:hAnsiTheme="minorHAnsi"/>
        </w:rPr>
        <w:t>projektu a také na účetní středisko vedené pro projekt.</w:t>
      </w:r>
    </w:p>
    <w:p w:rsidR="00C96AF8" w:rsidRDefault="00C96AF8" w:rsidP="006D2196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D2196">
        <w:rPr>
          <w:rFonts w:asciiTheme="minorHAnsi" w:hAnsiTheme="minorHAnsi"/>
        </w:rPr>
        <w:t>Analogický postup je uplatňován pro administrativní výdaje (15% z personálních)</w:t>
      </w:r>
    </w:p>
    <w:p w:rsidR="00BC73B6" w:rsidRDefault="00BC73B6" w:rsidP="003D12FF">
      <w:pPr>
        <w:pStyle w:val="Odstavecseseznamem"/>
        <w:spacing w:line="360" w:lineRule="auto"/>
        <w:rPr>
          <w:rFonts w:asciiTheme="minorHAnsi" w:hAnsiTheme="minorHAnsi"/>
        </w:rPr>
      </w:pPr>
    </w:p>
    <w:p w:rsidR="003D12FF" w:rsidRDefault="003D12FF" w:rsidP="003D12FF">
      <w:pPr>
        <w:pStyle w:val="Odstavecseseznamem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výjimečných případech, kdy byly personální výdaje </w:t>
      </w:r>
      <w:r w:rsidR="00BC73B6">
        <w:rPr>
          <w:rFonts w:asciiTheme="minorHAnsi" w:hAnsiTheme="minorHAnsi"/>
        </w:rPr>
        <w:t xml:space="preserve">již při podání žádosti </w:t>
      </w:r>
      <w:r>
        <w:rPr>
          <w:rFonts w:asciiTheme="minorHAnsi" w:hAnsiTheme="minorHAnsi"/>
        </w:rPr>
        <w:t>schváleny nad limit paušálu, je dokladování podrobné. Žadatel doloží všechny relevantní doklady (pracovní smlouvy, DPP, DPČ, výkazy práce, doklady o zaplacení apod.)</w:t>
      </w:r>
    </w:p>
    <w:p w:rsidR="006D2196" w:rsidRPr="006D2196" w:rsidRDefault="006D2196" w:rsidP="006D2196">
      <w:pPr>
        <w:pStyle w:val="Odstavecseseznamem"/>
        <w:spacing w:line="360" w:lineRule="auto"/>
        <w:rPr>
          <w:rFonts w:asciiTheme="minorHAnsi" w:hAnsiTheme="minorHAnsi"/>
        </w:rPr>
      </w:pPr>
    </w:p>
    <w:p w:rsidR="001E5817" w:rsidRPr="009403BA" w:rsidRDefault="00915AAD">
      <w:pPr>
        <w:rPr>
          <w:rFonts w:asciiTheme="minorHAnsi" w:hAnsiTheme="minorHAnsi"/>
        </w:rPr>
      </w:pPr>
      <w:r w:rsidRPr="00B8488C">
        <w:rPr>
          <w:rFonts w:asciiTheme="minorHAnsi" w:hAnsiTheme="minorHAnsi"/>
        </w:rPr>
        <w:t>Veškeré dokumenty potřebné k vyúčtování projektu naleznete na našich stránkách:</w:t>
      </w:r>
      <w:r w:rsidR="00B8488C">
        <w:rPr>
          <w:rFonts w:asciiTheme="minorHAnsi" w:hAnsiTheme="minorHAnsi"/>
        </w:rPr>
        <w:t xml:space="preserve"> </w:t>
      </w:r>
      <w:hyperlink r:id="rId11" w:history="1">
        <w:r w:rsidR="00B8488C" w:rsidRPr="00E41F2C">
          <w:rPr>
            <w:rStyle w:val="Hypertextovodkaz"/>
            <w:rFonts w:asciiTheme="minorHAnsi" w:hAnsiTheme="minorHAnsi"/>
          </w:rPr>
          <w:t>www.ern.cz</w:t>
        </w:r>
      </w:hyperlink>
      <w:r w:rsidR="00B8488C">
        <w:rPr>
          <w:rFonts w:asciiTheme="minorHAnsi" w:hAnsiTheme="minorHAnsi"/>
        </w:rPr>
        <w:t>, sekce FMP ČR-Sasko</w:t>
      </w:r>
    </w:p>
    <w:sectPr w:rsidR="001E5817" w:rsidRPr="009403BA" w:rsidSect="00920EB3">
      <w:headerReference w:type="default" r:id="rId12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D5" w:rsidRDefault="00916AD5">
      <w:r>
        <w:separator/>
      </w:r>
    </w:p>
  </w:endnote>
  <w:endnote w:type="continuationSeparator" w:id="0">
    <w:p w:rsidR="00916AD5" w:rsidRDefault="0091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D5" w:rsidRDefault="00916AD5">
      <w:r>
        <w:separator/>
      </w:r>
    </w:p>
  </w:footnote>
  <w:footnote w:type="continuationSeparator" w:id="0">
    <w:p w:rsidR="00916AD5" w:rsidRDefault="0091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C8" w:rsidRDefault="008D67C8">
    <w:pPr>
      <w:pStyle w:val="Zhlav"/>
    </w:pPr>
    <w:r>
      <w:rPr>
        <w:noProof/>
      </w:rPr>
      <w:drawing>
        <wp:inline distT="0" distB="0" distL="0" distR="0">
          <wp:extent cx="5760720" cy="6908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jlogo_14_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7C8" w:rsidRDefault="008D67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7D3"/>
    <w:multiLevelType w:val="hybridMultilevel"/>
    <w:tmpl w:val="0CB27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5013"/>
    <w:multiLevelType w:val="hybridMultilevel"/>
    <w:tmpl w:val="79D08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8DF"/>
    <w:multiLevelType w:val="hybridMultilevel"/>
    <w:tmpl w:val="B65C76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5"/>
    <w:rsid w:val="00003F27"/>
    <w:rsid w:val="000162F2"/>
    <w:rsid w:val="00037913"/>
    <w:rsid w:val="00051624"/>
    <w:rsid w:val="000607DB"/>
    <w:rsid w:val="00091182"/>
    <w:rsid w:val="000A2017"/>
    <w:rsid w:val="000D6278"/>
    <w:rsid w:val="001123F2"/>
    <w:rsid w:val="001131AE"/>
    <w:rsid w:val="0011330B"/>
    <w:rsid w:val="00131BC9"/>
    <w:rsid w:val="00161EB2"/>
    <w:rsid w:val="00172415"/>
    <w:rsid w:val="001B1F24"/>
    <w:rsid w:val="001D31F1"/>
    <w:rsid w:val="001E27B3"/>
    <w:rsid w:val="001E5817"/>
    <w:rsid w:val="0020632E"/>
    <w:rsid w:val="002069B3"/>
    <w:rsid w:val="00224D56"/>
    <w:rsid w:val="002279C5"/>
    <w:rsid w:val="00275AC8"/>
    <w:rsid w:val="0029196D"/>
    <w:rsid w:val="002A5E9E"/>
    <w:rsid w:val="003074F2"/>
    <w:rsid w:val="003241E4"/>
    <w:rsid w:val="00340616"/>
    <w:rsid w:val="00343DE1"/>
    <w:rsid w:val="003624B8"/>
    <w:rsid w:val="003632F8"/>
    <w:rsid w:val="003765A8"/>
    <w:rsid w:val="00385BE8"/>
    <w:rsid w:val="00397F57"/>
    <w:rsid w:val="003D12FF"/>
    <w:rsid w:val="003D6584"/>
    <w:rsid w:val="00401B05"/>
    <w:rsid w:val="00426A07"/>
    <w:rsid w:val="00434C89"/>
    <w:rsid w:val="00435FFF"/>
    <w:rsid w:val="00460093"/>
    <w:rsid w:val="00460D50"/>
    <w:rsid w:val="00467CAB"/>
    <w:rsid w:val="004720A8"/>
    <w:rsid w:val="004946F9"/>
    <w:rsid w:val="004B108C"/>
    <w:rsid w:val="004C47A6"/>
    <w:rsid w:val="004E1246"/>
    <w:rsid w:val="004E1F79"/>
    <w:rsid w:val="004F6252"/>
    <w:rsid w:val="005046F8"/>
    <w:rsid w:val="00527494"/>
    <w:rsid w:val="00533C06"/>
    <w:rsid w:val="00547B5F"/>
    <w:rsid w:val="00547B60"/>
    <w:rsid w:val="005629EB"/>
    <w:rsid w:val="00567D86"/>
    <w:rsid w:val="00573F64"/>
    <w:rsid w:val="00584C7F"/>
    <w:rsid w:val="005A29EB"/>
    <w:rsid w:val="005A4D30"/>
    <w:rsid w:val="005A5282"/>
    <w:rsid w:val="005A6907"/>
    <w:rsid w:val="005E4B2C"/>
    <w:rsid w:val="006375E1"/>
    <w:rsid w:val="00685DF6"/>
    <w:rsid w:val="0069163A"/>
    <w:rsid w:val="00693F21"/>
    <w:rsid w:val="006A7714"/>
    <w:rsid w:val="006B576E"/>
    <w:rsid w:val="006D2196"/>
    <w:rsid w:val="006E0B10"/>
    <w:rsid w:val="006E195B"/>
    <w:rsid w:val="006E2DE4"/>
    <w:rsid w:val="006E550B"/>
    <w:rsid w:val="006F3F1A"/>
    <w:rsid w:val="00715409"/>
    <w:rsid w:val="00724CA6"/>
    <w:rsid w:val="007403C6"/>
    <w:rsid w:val="00745EC6"/>
    <w:rsid w:val="00746032"/>
    <w:rsid w:val="00762AE6"/>
    <w:rsid w:val="007837EB"/>
    <w:rsid w:val="007D619B"/>
    <w:rsid w:val="007E6A52"/>
    <w:rsid w:val="007F21E4"/>
    <w:rsid w:val="007F4038"/>
    <w:rsid w:val="00806BB9"/>
    <w:rsid w:val="0083605B"/>
    <w:rsid w:val="0084424D"/>
    <w:rsid w:val="00855FAF"/>
    <w:rsid w:val="00863ED2"/>
    <w:rsid w:val="0086465B"/>
    <w:rsid w:val="008723C1"/>
    <w:rsid w:val="008B5EBB"/>
    <w:rsid w:val="008D67C8"/>
    <w:rsid w:val="009142B2"/>
    <w:rsid w:val="00915AAD"/>
    <w:rsid w:val="00916AD5"/>
    <w:rsid w:val="00920EB3"/>
    <w:rsid w:val="00931213"/>
    <w:rsid w:val="009403BA"/>
    <w:rsid w:val="0095654C"/>
    <w:rsid w:val="00965B15"/>
    <w:rsid w:val="009C7028"/>
    <w:rsid w:val="009C72C4"/>
    <w:rsid w:val="009D259A"/>
    <w:rsid w:val="009F008C"/>
    <w:rsid w:val="009F4EFC"/>
    <w:rsid w:val="00A476EB"/>
    <w:rsid w:val="00AA06F4"/>
    <w:rsid w:val="00AB33F1"/>
    <w:rsid w:val="00AD0D5E"/>
    <w:rsid w:val="00AE78A5"/>
    <w:rsid w:val="00B01B0B"/>
    <w:rsid w:val="00B410E5"/>
    <w:rsid w:val="00B4339D"/>
    <w:rsid w:val="00B6330A"/>
    <w:rsid w:val="00B8488C"/>
    <w:rsid w:val="00B9572A"/>
    <w:rsid w:val="00BB4228"/>
    <w:rsid w:val="00BC73B6"/>
    <w:rsid w:val="00BF2A6E"/>
    <w:rsid w:val="00C12763"/>
    <w:rsid w:val="00C34B4B"/>
    <w:rsid w:val="00C63F12"/>
    <w:rsid w:val="00C74CE3"/>
    <w:rsid w:val="00C841B4"/>
    <w:rsid w:val="00C96AF8"/>
    <w:rsid w:val="00CA3655"/>
    <w:rsid w:val="00CB572E"/>
    <w:rsid w:val="00CE7B31"/>
    <w:rsid w:val="00CF3B5F"/>
    <w:rsid w:val="00D0198F"/>
    <w:rsid w:val="00D361AB"/>
    <w:rsid w:val="00D36381"/>
    <w:rsid w:val="00D76C2B"/>
    <w:rsid w:val="00D805C7"/>
    <w:rsid w:val="00DB5F29"/>
    <w:rsid w:val="00DD7A8E"/>
    <w:rsid w:val="00E03C7C"/>
    <w:rsid w:val="00E32BF1"/>
    <w:rsid w:val="00E34D07"/>
    <w:rsid w:val="00E412E3"/>
    <w:rsid w:val="00E71F4A"/>
    <w:rsid w:val="00E87E9B"/>
    <w:rsid w:val="00EB7B77"/>
    <w:rsid w:val="00EC01D4"/>
    <w:rsid w:val="00F1592F"/>
    <w:rsid w:val="00F80739"/>
    <w:rsid w:val="00FD2B0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54E99B-8E8F-4A00-A41D-3500EE0F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0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10E5"/>
    <w:rPr>
      <w:color w:val="0000FF"/>
      <w:u w:val="single"/>
    </w:rPr>
  </w:style>
  <w:style w:type="paragraph" w:styleId="Zhlav">
    <w:name w:val="header"/>
    <w:basedOn w:val="Normln"/>
    <w:rsid w:val="00915A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5AA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646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6465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C96AF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D2196"/>
    <w:pPr>
      <w:ind w:left="720"/>
      <w:contextualSpacing/>
    </w:pPr>
  </w:style>
  <w:style w:type="character" w:styleId="Odkaznakoment">
    <w:name w:val="annotation reference"/>
    <w:basedOn w:val="Standardnpsmoodstavce"/>
    <w:rsid w:val="00BC73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73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73B6"/>
  </w:style>
  <w:style w:type="paragraph" w:styleId="Pedmtkomente">
    <w:name w:val="annotation subject"/>
    <w:basedOn w:val="Textkomente"/>
    <w:next w:val="Textkomente"/>
    <w:link w:val="PedmtkomenteChar"/>
    <w:rsid w:val="00BC73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7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-cz2020.eu/media/cz/de_cs/einzelne_dokumente/priloha_3_metodick__pokyn_zak_zky_2014_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inforeuro/index.cfm?fuseaction=currency_historique&amp;currency=47&amp;Language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rn.cz/index.php?D=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regional_policy/sources/docgener/informat/2014/guidance_public_proc_c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 k vyúčtování projektu – aktualizováno k 1</vt:lpstr>
    </vt:vector>
  </TitlesOfParts>
  <Company>Euroregion Nisa</Company>
  <LinksUpToDate>false</LinksUpToDate>
  <CharactersWithSpaces>7348</CharactersWithSpaces>
  <SharedDoc>false</SharedDoc>
  <HLinks>
    <vt:vector size="48" baseType="variant"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http://www.neisse-nisa-nysa.org/</vt:lpwstr>
      </vt:variant>
      <vt:variant>
        <vt:lpwstr/>
      </vt:variant>
      <vt:variant>
        <vt:i4>3539055</vt:i4>
      </vt:variant>
      <vt:variant>
        <vt:i4>18</vt:i4>
      </vt:variant>
      <vt:variant>
        <vt:i4>0</vt:i4>
      </vt:variant>
      <vt:variant>
        <vt:i4>5</vt:i4>
      </vt:variant>
      <vt:variant>
        <vt:lpwstr>http://www.ziel3-cil3.eu/cs/oeffentlichkeit/projektebene/index.html</vt:lpwstr>
      </vt:variant>
      <vt:variant>
        <vt:lpwstr/>
      </vt:variant>
      <vt:variant>
        <vt:i4>2883711</vt:i4>
      </vt:variant>
      <vt:variant>
        <vt:i4>15</vt:i4>
      </vt:variant>
      <vt:variant>
        <vt:i4>0</vt:i4>
      </vt:variant>
      <vt:variant>
        <vt:i4>5</vt:i4>
      </vt:variant>
      <vt:variant>
        <vt:lpwstr>http://www.neisse-nisa-nysa.org/index.php?id=51&amp;L=1</vt:lpwstr>
      </vt:variant>
      <vt:variant>
        <vt:lpwstr/>
      </vt:variant>
      <vt:variant>
        <vt:i4>2883690</vt:i4>
      </vt:variant>
      <vt:variant>
        <vt:i4>12</vt:i4>
      </vt:variant>
      <vt:variant>
        <vt:i4>0</vt:i4>
      </vt:variant>
      <vt:variant>
        <vt:i4>5</vt:i4>
      </vt:variant>
      <vt:variant>
        <vt:lpwstr>http://www.mpsv.cz/cs/1928</vt:lpwstr>
      </vt:variant>
      <vt:variant>
        <vt:lpwstr/>
      </vt:variant>
      <vt:variant>
        <vt:i4>1835030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http://www.ziel3-cil3.eu/cs/foerdergrundlagen/rechtsgrundlagen/national/index.html</vt:lpwstr>
      </vt:variant>
      <vt:variant>
        <vt:lpwstr/>
      </vt:variant>
      <vt:variant>
        <vt:i4>4325416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http://ec.europa.eu/budget/inforeuro/index.cfm?fuseaction=currency_historique&amp;currency=47&amp;Language=en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http://www.neisse-nisa-nysa.org/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 k vyúčtování projektu – aktualizováno k 1</dc:title>
  <dc:subject/>
  <dc:creator>Lenka Doláková</dc:creator>
  <cp:keywords/>
  <dc:description/>
  <cp:lastModifiedBy>Lucije</cp:lastModifiedBy>
  <cp:revision>14</cp:revision>
  <cp:lastPrinted>2016-04-19T07:40:00Z</cp:lastPrinted>
  <dcterms:created xsi:type="dcterms:W3CDTF">2016-01-12T12:38:00Z</dcterms:created>
  <dcterms:modified xsi:type="dcterms:W3CDTF">2016-05-03T12:07:00Z</dcterms:modified>
</cp:coreProperties>
</file>